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3F660" w14:textId="77777777" w:rsidR="00D3317E" w:rsidRPr="00D3317E" w:rsidRDefault="00D3317E" w:rsidP="00D3317E">
      <w:pPr>
        <w:spacing w:after="0" w:line="240" w:lineRule="auto"/>
        <w:jc w:val="center"/>
        <w:outlineLvl w:val="1"/>
        <w:rPr>
          <w:rFonts w:ascii="Arial" w:eastAsia="Times New Roman" w:hAnsi="Arial" w:cs="Arial"/>
          <w:b/>
          <w:bCs/>
          <w:color w:val="212121"/>
          <w:sz w:val="20"/>
          <w:szCs w:val="20"/>
        </w:rPr>
      </w:pPr>
      <w:r w:rsidRPr="00D3317E">
        <w:rPr>
          <w:rFonts w:ascii="Arial" w:eastAsia="Times New Roman" w:hAnsi="Arial" w:cs="Arial"/>
          <w:b/>
          <w:bCs/>
          <w:color w:val="212121"/>
          <w:sz w:val="20"/>
          <w:szCs w:val="20"/>
        </w:rPr>
        <w:t>§ 77135. Patients with Reportable Communicable Disease, Physical Illness or Physical Injury.</w:t>
      </w:r>
    </w:p>
    <w:p w14:paraId="5ED0502B" w14:textId="77777777" w:rsidR="00D3317E" w:rsidRPr="00D3317E" w:rsidRDefault="00D3317E" w:rsidP="00D3317E">
      <w:pPr>
        <w:shd w:val="clear" w:color="auto" w:fill="F7F7F7"/>
        <w:spacing w:after="0" w:line="288" w:lineRule="atLeast"/>
        <w:rPr>
          <w:rFonts w:ascii="Georgia" w:eastAsia="Times New Roman" w:hAnsi="Georgia" w:cs="Arial"/>
          <w:color w:val="212121"/>
          <w:sz w:val="18"/>
          <w:szCs w:val="18"/>
        </w:rPr>
      </w:pPr>
      <w:r w:rsidRPr="00D3317E">
        <w:rPr>
          <w:rFonts w:ascii="Georgia" w:eastAsia="Times New Roman" w:hAnsi="Georgia" w:cs="Arial"/>
          <w:color w:val="212121"/>
          <w:sz w:val="18"/>
          <w:szCs w:val="18"/>
        </w:rPr>
        <w:t>Barclays Official California Code of Regulations </w:t>
      </w:r>
      <w:proofErr w:type="spellStart"/>
      <w:r w:rsidRPr="00D3317E">
        <w:rPr>
          <w:rFonts w:ascii="Georgia" w:eastAsia="Times New Roman" w:hAnsi="Georgia" w:cs="Arial"/>
          <w:color w:val="212121"/>
          <w:sz w:val="18"/>
          <w:szCs w:val="18"/>
        </w:rPr>
      </w:r>
      <w:r w:rsidRPr="00D3317E">
        <w:rPr>
          <w:rFonts w:ascii="Georgia" w:eastAsia="Times New Roman" w:hAnsi="Georgia" w:cs="Arial"/>
          <w:color w:val="212121"/>
          <w:sz w:val="18"/>
          <w:szCs w:val="18"/>
        </w:rPr>
        <w:instrText xml:space="preserve"/>
      </w:r>
      <w:r w:rsidRPr="00D3317E">
        <w:rPr>
          <w:rFonts w:ascii="Georgia" w:eastAsia="Times New Roman" w:hAnsi="Georgia" w:cs="Arial"/>
          <w:color w:val="212121"/>
          <w:sz w:val="18"/>
          <w:szCs w:val="18"/>
        </w:rPr>
      </w:r>
      <w:r w:rsidRPr="00D3317E">
        <w:rPr>
          <w:rFonts w:ascii="Georgia" w:eastAsia="Times New Roman" w:hAnsi="Georgia" w:cs="Arial"/>
          <w:color w:val="005A84"/>
          <w:sz w:val="18"/>
          <w:szCs w:val="18"/>
          <w:u w:val="single"/>
        </w:rPr>
        <w:t>Currentness</w:t>
      </w:r>
      <w:proofErr w:type="spellEnd"/>
      <w:r w:rsidRPr="00D3317E">
        <w:rPr>
          <w:rFonts w:ascii="Georgia" w:eastAsia="Times New Roman" w:hAnsi="Georgia" w:cs="Arial"/>
          <w:color w:val="212121"/>
          <w:sz w:val="18"/>
          <w:szCs w:val="18"/>
        </w:rPr>
      </w:r>
    </w:p>
    <w:p w14:paraId="78A061AD" w14:textId="77777777" w:rsidR="00D3317E" w:rsidRPr="00D3317E" w:rsidRDefault="00D3317E" w:rsidP="00D3317E">
      <w:pPr>
        <w:shd w:val="clear" w:color="auto" w:fill="F7F7F7"/>
        <w:spacing w:after="0" w:line="288" w:lineRule="atLeast"/>
        <w:rPr>
          <w:rFonts w:ascii="Georgia" w:eastAsia="Times New Roman" w:hAnsi="Georgia" w:cs="Arial"/>
          <w:color w:val="212121"/>
          <w:sz w:val="18"/>
          <w:szCs w:val="18"/>
        </w:rPr>
      </w:pPr>
      <w:r w:rsidRPr="00D3317E">
        <w:rPr>
          <w:rFonts w:ascii="Georgia" w:eastAsia="Times New Roman" w:hAnsi="Georgia" w:cs="Arial"/>
          <w:b/>
          <w:bCs/>
          <w:color w:val="212121"/>
          <w:sz w:val="18"/>
          <w:szCs w:val="18"/>
        </w:rPr>
        <w:t>Title 22</w:t>
      </w:r>
      <w:r w:rsidRPr="00D3317E">
        <w:rPr>
          <w:rFonts w:ascii="Georgia" w:eastAsia="Times New Roman" w:hAnsi="Georgia" w:cs="Arial"/>
          <w:color w:val="212121"/>
          <w:sz w:val="18"/>
          <w:szCs w:val="18"/>
        </w:rPr>
        <w:t>. Social Security</w:t>
      </w:r>
    </w:p>
    <w:p w14:paraId="3BD024CE" w14:textId="77777777" w:rsidR="00D3317E" w:rsidRPr="00D3317E" w:rsidRDefault="00D3317E" w:rsidP="00D3317E">
      <w:pPr>
        <w:shd w:val="clear" w:color="auto" w:fill="F7F7F7"/>
        <w:spacing w:after="0" w:line="288" w:lineRule="atLeast"/>
        <w:rPr>
          <w:rFonts w:ascii="Georgia" w:eastAsia="Times New Roman" w:hAnsi="Georgia" w:cs="Arial"/>
          <w:color w:val="212121"/>
          <w:sz w:val="18"/>
          <w:szCs w:val="18"/>
        </w:rPr>
      </w:pPr>
      <w:r w:rsidRPr="00D3317E">
        <w:rPr>
          <w:rFonts w:ascii="Georgia" w:eastAsia="Times New Roman" w:hAnsi="Georgia" w:cs="Arial"/>
          <w:b/>
          <w:bCs/>
          <w:color w:val="212121"/>
          <w:sz w:val="18"/>
          <w:szCs w:val="18"/>
        </w:rPr>
        <w:t>Division 5</w:t>
      </w:r>
      <w:r w:rsidRPr="00D3317E">
        <w:rPr>
          <w:rFonts w:ascii="Georgia" w:eastAsia="Times New Roman" w:hAnsi="Georgia" w:cs="Arial"/>
          <w:color w:val="212121"/>
          <w:sz w:val="18"/>
          <w:szCs w:val="18"/>
        </w:rPr>
        <w:t>. Licensing and Certification of Health Facilities, Home Health Agencies, Clinics, and Referral Agencies</w:t>
      </w:r>
    </w:p>
    <w:p w14:paraId="3B20CF86" w14:textId="77777777" w:rsidR="00D3317E" w:rsidRPr="00D3317E" w:rsidRDefault="00D3317E" w:rsidP="00D3317E">
      <w:pPr>
        <w:shd w:val="clear" w:color="auto" w:fill="F7F7F7"/>
        <w:spacing w:after="0" w:line="288" w:lineRule="atLeast"/>
        <w:rPr>
          <w:rFonts w:ascii="Georgia" w:eastAsia="Times New Roman" w:hAnsi="Georgia" w:cs="Arial"/>
          <w:b/>
          <w:bCs/>
          <w:color w:val="212121"/>
          <w:sz w:val="18"/>
          <w:szCs w:val="18"/>
        </w:rPr>
      </w:pPr>
      <w:r w:rsidRPr="00D3317E">
        <w:rPr>
          <w:rFonts w:ascii="Georgia" w:eastAsia="Times New Roman" w:hAnsi="Georgia" w:cs="Arial"/>
          <w:b/>
          <w:bCs/>
          <w:color w:val="212121"/>
          <w:sz w:val="18"/>
          <w:szCs w:val="18"/>
        </w:rPr>
        <w:t>Chapter 9. Psychiatric Health Facilities</w:t>
      </w:r>
    </w:p>
    <w:p w14:paraId="74C6159A" w14:textId="77777777" w:rsidR="00D3317E" w:rsidRPr="00D3317E" w:rsidRDefault="00D3317E" w:rsidP="00D3317E">
      <w:pPr>
        <w:shd w:val="clear" w:color="auto" w:fill="F7F7F7"/>
        <w:spacing w:line="288" w:lineRule="atLeast"/>
        <w:rPr>
          <w:rFonts w:ascii="Georgia" w:eastAsia="Times New Roman" w:hAnsi="Georgia" w:cs="Arial"/>
          <w:color w:val="212121"/>
          <w:sz w:val="18"/>
          <w:szCs w:val="18"/>
        </w:rPr>
      </w:pPr>
      <w:r w:rsidRPr="00D3317E">
        <w:rPr>
          <w:rFonts w:ascii="Georgia" w:eastAsia="Times New Roman" w:hAnsi="Georgia" w:cs="Arial"/>
          <w:b/>
          <w:bCs/>
          <w:color w:val="212121"/>
          <w:sz w:val="18"/>
          <w:szCs w:val="18"/>
        </w:rPr>
        <w:t>Article 4</w:t>
      </w:r>
      <w:r w:rsidRPr="00D3317E">
        <w:rPr>
          <w:rFonts w:ascii="Georgia" w:eastAsia="Times New Roman" w:hAnsi="Georgia" w:cs="Arial"/>
          <w:color w:val="212121"/>
          <w:sz w:val="18"/>
          <w:szCs w:val="18"/>
        </w:rPr>
        <w:t xml:space="preserve">. Administration (Refs &amp; </w:t>
      </w:r>
      <w:proofErr w:type="spellStart"/>
      <w:r w:rsidRPr="00D3317E">
        <w:rPr>
          <w:rFonts w:ascii="Georgia" w:eastAsia="Times New Roman" w:hAnsi="Georgia" w:cs="Arial"/>
          <w:color w:val="212121"/>
          <w:sz w:val="18"/>
          <w:szCs w:val="18"/>
        </w:rPr>
        <w:t>Annos</w:t>
      </w:r>
      <w:proofErr w:type="spellEnd"/>
      <w:r w:rsidRPr="00D3317E">
        <w:rPr>
          <w:rFonts w:ascii="Georgia" w:eastAsia="Times New Roman" w:hAnsi="Georgia" w:cs="Arial"/>
          <w:color w:val="212121"/>
          <w:sz w:val="18"/>
          <w:szCs w:val="18"/>
        </w:rPr>
        <w:t>)</w:t>
      </w:r>
    </w:p>
    <w:p w14:paraId="0CE5C86C" w14:textId="77777777" w:rsidR="002B3A11" w:rsidRDefault="002B3A11" w:rsidP="00D3317E">
      <w:pPr>
        <w:spacing w:after="0" w:line="288" w:lineRule="atLeast"/>
        <w:jc w:val="center"/>
        <w:rPr>
          <w:rFonts w:ascii="Georgia" w:eastAsia="Times New Roman" w:hAnsi="Georgia" w:cs="Arial"/>
          <w:color w:val="212121"/>
          <w:sz w:val="24"/>
          <w:szCs w:val="24"/>
          <w:highlight w:val="yellow"/>
        </w:rPr>
      </w:pPr>
    </w:p>
    <w:p w14:paraId="6E37B18C" w14:textId="40801656" w:rsidR="00D3317E" w:rsidRPr="00D3317E" w:rsidRDefault="00D3317E" w:rsidP="00D3317E">
      <w:pPr>
        <w:spacing w:after="0" w:line="288" w:lineRule="atLeast"/>
        <w:jc w:val="center"/>
        <w:rPr>
          <w:rFonts w:ascii="Georgia" w:eastAsia="Times New Roman" w:hAnsi="Georgia" w:cs="Arial"/>
          <w:color w:val="212121"/>
          <w:sz w:val="24"/>
          <w:szCs w:val="24"/>
        </w:rPr>
      </w:pPr>
      <w:r w:rsidRPr="00D3317E">
        <w:rPr>
          <w:rFonts w:ascii="Georgia" w:eastAsia="Times New Roman" w:hAnsi="Georgia" w:cs="Arial"/>
          <w:color w:val="212121"/>
          <w:sz w:val="24"/>
          <w:szCs w:val="24"/>
          <w:highlight w:val="yellow"/>
        </w:rPr>
        <w:t>22 CCR § 77135</w:t>
      </w:r>
    </w:p>
    <w:p w14:paraId="69A34AC2" w14:textId="5EE4361C" w:rsidR="00D3317E" w:rsidRDefault="00D3317E" w:rsidP="00D3317E">
      <w:pPr>
        <w:spacing w:line="360" w:lineRule="atLeast"/>
        <w:jc w:val="center"/>
        <w:rPr>
          <w:rFonts w:ascii="Georgia" w:eastAsia="Times New Roman" w:hAnsi="Georgia" w:cs="Arial"/>
          <w:color w:val="252525"/>
          <w:sz w:val="32"/>
          <w:szCs w:val="32"/>
        </w:rPr>
      </w:pPr>
      <w:r w:rsidRPr="00D3317E">
        <w:rPr>
          <w:rFonts w:ascii="Georgia" w:eastAsia="Times New Roman" w:hAnsi="Georgia" w:cs="Arial"/>
          <w:color w:val="252525"/>
          <w:sz w:val="32"/>
          <w:szCs w:val="32"/>
        </w:rPr>
        <w:t>§ 77135. Patients with Reportable Communicable Disease, Physical Illness or Physical Injury.</w:t>
      </w:r>
    </w:p>
    <w:p w14:paraId="73FCB386" w14:textId="77777777" w:rsidR="002B3A11" w:rsidRPr="00D3317E" w:rsidRDefault="002B3A11" w:rsidP="00D3317E">
      <w:pPr>
        <w:spacing w:line="360" w:lineRule="atLeast"/>
        <w:jc w:val="center"/>
        <w:rPr>
          <w:rFonts w:ascii="Georgia" w:eastAsia="Times New Roman" w:hAnsi="Georgia" w:cs="Arial"/>
          <w:color w:val="252525"/>
          <w:sz w:val="32"/>
          <w:szCs w:val="32"/>
        </w:rPr>
      </w:pPr>
    </w:p>
    <w:p w14:paraId="3877DAE8" w14:textId="77777777" w:rsidR="00D3317E" w:rsidRPr="00D3317E" w:rsidRDefault="00D3317E" w:rsidP="00D3317E">
      <w:pPr>
        <w:spacing w:after="0" w:line="288" w:lineRule="atLeast"/>
        <w:rPr>
          <w:rFonts w:ascii="Arial" w:eastAsia="Times New Roman" w:hAnsi="Arial" w:cs="Arial"/>
          <w:b/>
          <w:bCs/>
          <w:color w:val="212121"/>
          <w:sz w:val="24"/>
          <w:szCs w:val="24"/>
        </w:rPr>
      </w:pPr>
      <w:r w:rsidRPr="00D3317E">
        <w:rPr>
          <w:rFonts w:ascii="Arial" w:eastAsia="Times New Roman" w:hAnsi="Arial" w:cs="Arial"/>
          <w:b/>
          <w:bCs/>
          <w:color w:val="212121"/>
          <w:sz w:val="24"/>
          <w:szCs w:val="24"/>
        </w:rPr>
        <w:t>(a) Reportable communicable diseases:</w:t>
      </w:r>
    </w:p>
    <w:p w14:paraId="6915B55E" w14:textId="58BEE142" w:rsidR="00D3317E" w:rsidRDefault="00D3317E" w:rsidP="00D3317E">
      <w:pPr>
        <w:spacing w:after="0" w:line="288" w:lineRule="atLeast"/>
        <w:rPr>
          <w:rFonts w:ascii="Arial" w:eastAsia="Times New Roman" w:hAnsi="Arial" w:cs="Arial"/>
          <w:color w:val="212121"/>
          <w:sz w:val="24"/>
          <w:szCs w:val="24"/>
        </w:rPr>
      </w:pPr>
      <w:r w:rsidRPr="00D3317E">
        <w:rPr>
          <w:rFonts w:ascii="Arial" w:eastAsia="Times New Roman" w:hAnsi="Arial" w:cs="Arial"/>
          <w:color w:val="212121"/>
          <w:sz w:val="24"/>
          <w:szCs w:val="24"/>
        </w:rPr>
        <w:t xml:space="preserve">(1) Persons with a communicable disease that is </w:t>
      </w:r>
      <w:r w:rsidRPr="004B4143">
        <w:rPr>
          <w:rFonts w:ascii="Arial" w:eastAsia="Times New Roman" w:hAnsi="Arial" w:cs="Arial"/>
          <w:color w:val="212121"/>
          <w:sz w:val="24"/>
          <w:szCs w:val="24"/>
          <w:highlight w:val="yellow"/>
        </w:rPr>
        <w:t>required to be reported by Title 17, California Code of Regulations, Section 2500,</w:t>
      </w:r>
      <w:r w:rsidRPr="004B4143">
        <w:rPr>
          <w:rFonts w:ascii="Arial" w:eastAsia="Times New Roman" w:hAnsi="Arial" w:cs="Arial"/>
          <w:color w:val="212121"/>
          <w:sz w:val="24"/>
          <w:szCs w:val="24"/>
        </w:rPr>
        <w:t xml:space="preserve"> </w:t>
      </w:r>
      <w:r w:rsidRPr="004C6308">
        <w:rPr>
          <w:rFonts w:ascii="Arial" w:eastAsia="Times New Roman" w:hAnsi="Arial" w:cs="Arial"/>
          <w:color w:val="212121"/>
          <w:sz w:val="24"/>
          <w:szCs w:val="24"/>
          <w:u w:val="single"/>
        </w:rPr>
        <w:t>shall not be admitted</w:t>
      </w:r>
      <w:r w:rsidRPr="00D3317E">
        <w:rPr>
          <w:rFonts w:ascii="Arial" w:eastAsia="Times New Roman" w:hAnsi="Arial" w:cs="Arial"/>
          <w:color w:val="212121"/>
          <w:sz w:val="24"/>
          <w:szCs w:val="24"/>
        </w:rPr>
        <w:t xml:space="preserve"> to the facility.</w:t>
      </w:r>
    </w:p>
    <w:p w14:paraId="2DD48229" w14:textId="77777777" w:rsidR="00D3317E" w:rsidRPr="00D3317E" w:rsidRDefault="00D3317E" w:rsidP="00D3317E">
      <w:pPr>
        <w:spacing w:after="0" w:line="288" w:lineRule="atLeast"/>
        <w:rPr>
          <w:rFonts w:ascii="Arial" w:eastAsia="Times New Roman" w:hAnsi="Arial" w:cs="Arial"/>
          <w:color w:val="212121"/>
          <w:sz w:val="24"/>
          <w:szCs w:val="24"/>
        </w:rPr>
      </w:pPr>
    </w:p>
    <w:p w14:paraId="00DBD51B" w14:textId="40E3082C" w:rsidR="00D3317E" w:rsidRDefault="00D3317E" w:rsidP="00D3317E">
      <w:pPr>
        <w:spacing w:after="0" w:line="288" w:lineRule="atLeast"/>
        <w:rPr>
          <w:rFonts w:ascii="Arial" w:eastAsia="Times New Roman" w:hAnsi="Arial" w:cs="Arial"/>
          <w:color w:val="212121"/>
          <w:sz w:val="24"/>
          <w:szCs w:val="24"/>
        </w:rPr>
      </w:pPr>
      <w:r w:rsidRPr="00D3317E">
        <w:rPr>
          <w:rFonts w:ascii="Arial" w:eastAsia="Times New Roman" w:hAnsi="Arial" w:cs="Arial"/>
          <w:color w:val="212121"/>
          <w:sz w:val="24"/>
          <w:szCs w:val="24"/>
        </w:rPr>
        <w:t>(2) A patient who after admission is diagnosed as having a reportable</w:t>
      </w:r>
      <w:bookmarkStart w:id="0" w:name="_GoBack"/>
      <w:bookmarkEnd w:id="0"/>
      <w:r w:rsidRPr="00D3317E">
        <w:rPr>
          <w:rFonts w:ascii="Arial" w:eastAsia="Times New Roman" w:hAnsi="Arial" w:cs="Arial"/>
          <w:color w:val="212121"/>
          <w:sz w:val="24"/>
          <w:szCs w:val="24"/>
        </w:rPr>
        <w:t xml:space="preserve"> communicable disease or being a carrier shall be promptly transferred to a facility capable of accommodating such patients.</w:t>
      </w:r>
    </w:p>
    <w:p w14:paraId="60BD49A3" w14:textId="77777777" w:rsidR="00D3317E" w:rsidRPr="00D3317E" w:rsidRDefault="00D3317E" w:rsidP="00D3317E">
      <w:pPr>
        <w:spacing w:after="0" w:line="288" w:lineRule="atLeast"/>
        <w:rPr>
          <w:rFonts w:ascii="Arial" w:eastAsia="Times New Roman" w:hAnsi="Arial" w:cs="Arial"/>
          <w:color w:val="212121"/>
          <w:sz w:val="24"/>
          <w:szCs w:val="24"/>
        </w:rPr>
      </w:pPr>
    </w:p>
    <w:p w14:paraId="0C8B2D40" w14:textId="77777777" w:rsidR="00D3317E" w:rsidRPr="00D3317E" w:rsidRDefault="00D3317E" w:rsidP="00D3317E">
      <w:pPr>
        <w:spacing w:after="0" w:line="288" w:lineRule="atLeast"/>
        <w:rPr>
          <w:rFonts w:ascii="Arial" w:eastAsia="Times New Roman" w:hAnsi="Arial" w:cs="Arial"/>
          <w:b/>
          <w:bCs/>
          <w:color w:val="212121"/>
          <w:sz w:val="24"/>
          <w:szCs w:val="24"/>
        </w:rPr>
      </w:pPr>
      <w:r w:rsidRPr="00D3317E">
        <w:rPr>
          <w:rFonts w:ascii="Arial" w:eastAsia="Times New Roman" w:hAnsi="Arial" w:cs="Arial"/>
          <w:b/>
          <w:bCs/>
          <w:color w:val="212121"/>
          <w:sz w:val="24"/>
          <w:szCs w:val="24"/>
        </w:rPr>
        <w:t>(b) Non-reportable disease or injury:</w:t>
      </w:r>
    </w:p>
    <w:p w14:paraId="5253ABD2" w14:textId="4C9228EC" w:rsidR="00D3317E" w:rsidRDefault="00D3317E" w:rsidP="00D3317E">
      <w:pPr>
        <w:spacing w:after="0" w:line="288" w:lineRule="atLeast"/>
        <w:rPr>
          <w:rFonts w:ascii="Arial" w:eastAsia="Times New Roman" w:hAnsi="Arial" w:cs="Arial"/>
          <w:color w:val="212121"/>
          <w:sz w:val="24"/>
          <w:szCs w:val="24"/>
        </w:rPr>
      </w:pPr>
      <w:r w:rsidRPr="00D3317E">
        <w:rPr>
          <w:rFonts w:ascii="Arial" w:eastAsia="Times New Roman" w:hAnsi="Arial" w:cs="Arial"/>
          <w:color w:val="212121"/>
          <w:sz w:val="24"/>
          <w:szCs w:val="24"/>
        </w:rPr>
        <w:t>(1) Psychiatric health facilities shall arrange alternative treatment settings for patients with injuries or diseases that require inpatient medical care. When a patient's particular injury or disease would ordinarily be treated on an outpatient basis absent the mental disorder, the facility may admit the patient only if the facility has appropriate policies, procedures and resources to ensure the safety of other patients and staff.</w:t>
      </w:r>
    </w:p>
    <w:p w14:paraId="1E38D142" w14:textId="77777777" w:rsidR="00D3317E" w:rsidRPr="00D3317E" w:rsidRDefault="00D3317E" w:rsidP="00D3317E">
      <w:pPr>
        <w:spacing w:after="0" w:line="288" w:lineRule="atLeast"/>
        <w:rPr>
          <w:rFonts w:ascii="Arial" w:eastAsia="Times New Roman" w:hAnsi="Arial" w:cs="Arial"/>
          <w:color w:val="212121"/>
          <w:sz w:val="24"/>
          <w:szCs w:val="24"/>
        </w:rPr>
      </w:pPr>
    </w:p>
    <w:p w14:paraId="6EF365C6" w14:textId="66468F47" w:rsidR="00D3317E" w:rsidRDefault="00D3317E" w:rsidP="00D3317E">
      <w:pPr>
        <w:spacing w:after="0" w:line="288" w:lineRule="atLeast"/>
        <w:rPr>
          <w:rFonts w:ascii="Arial" w:eastAsia="Times New Roman" w:hAnsi="Arial" w:cs="Arial"/>
          <w:color w:val="212121"/>
          <w:sz w:val="24"/>
          <w:szCs w:val="24"/>
        </w:rPr>
      </w:pPr>
      <w:r w:rsidRPr="00D3317E">
        <w:rPr>
          <w:rFonts w:ascii="Arial" w:eastAsia="Times New Roman" w:hAnsi="Arial" w:cs="Arial"/>
          <w:color w:val="212121"/>
          <w:sz w:val="24"/>
          <w:szCs w:val="24"/>
        </w:rPr>
        <w:t>(2) A patient, who after admission is diagnosed as having a disease or injury, may be treated in the facility if the patient's particular injury or disease would ordinarily be treated on an outpatient basis. The facility may treat the patient for the injury or disease only if the facility has appropriate policies, procedures and resources to ensure the safety of other patients and staff.</w:t>
      </w:r>
    </w:p>
    <w:p w14:paraId="3BF391E7" w14:textId="77777777" w:rsidR="002B3A11" w:rsidRDefault="002B3A11" w:rsidP="00D3317E">
      <w:pPr>
        <w:spacing w:after="0" w:line="288" w:lineRule="atLeast"/>
        <w:rPr>
          <w:rFonts w:ascii="Arial" w:eastAsia="Times New Roman" w:hAnsi="Arial" w:cs="Arial"/>
          <w:color w:val="212121"/>
          <w:sz w:val="24"/>
          <w:szCs w:val="24"/>
        </w:rPr>
      </w:pPr>
    </w:p>
    <w:p w14:paraId="034612EC" w14:textId="77777777" w:rsidR="00D3317E" w:rsidRPr="00D3317E" w:rsidRDefault="00D3317E" w:rsidP="00D3317E">
      <w:pPr>
        <w:spacing w:after="0" w:line="288" w:lineRule="atLeast"/>
        <w:rPr>
          <w:rFonts w:ascii="Arial" w:eastAsia="Times New Roman" w:hAnsi="Arial" w:cs="Arial"/>
          <w:color w:val="212121"/>
          <w:sz w:val="24"/>
          <w:szCs w:val="24"/>
        </w:rPr>
      </w:pPr>
    </w:p>
    <w:p w14:paraId="0A945438" w14:textId="6A653378" w:rsidR="00D3317E" w:rsidRDefault="00D3317E" w:rsidP="00D3317E">
      <w:pPr>
        <w:spacing w:after="0" w:line="288" w:lineRule="atLeast"/>
        <w:rPr>
          <w:rFonts w:ascii="Arial" w:eastAsia="Times New Roman" w:hAnsi="Arial" w:cs="Arial"/>
          <w:color w:val="212121"/>
          <w:sz w:val="18"/>
          <w:szCs w:val="18"/>
        </w:rPr>
      </w:pPr>
      <w:r w:rsidRPr="00D3317E">
        <w:rPr>
          <w:rFonts w:ascii="Arial" w:eastAsia="Times New Roman" w:hAnsi="Arial" w:cs="Arial"/>
          <w:color w:val="212121"/>
          <w:sz w:val="18"/>
          <w:szCs w:val="18"/>
        </w:rPr>
        <w:t>Note: Authority cited: Section 1275, Health and Safety Code. Reference: Section 1275.1, Health and Safety Code.</w:t>
      </w:r>
    </w:p>
    <w:p w14:paraId="47747D67" w14:textId="77777777" w:rsidR="00D3317E" w:rsidRPr="00D3317E" w:rsidRDefault="00D3317E" w:rsidP="00D3317E">
      <w:pPr>
        <w:spacing w:after="0" w:line="288" w:lineRule="atLeast"/>
        <w:rPr>
          <w:rFonts w:ascii="Arial" w:eastAsia="Times New Roman" w:hAnsi="Arial" w:cs="Arial"/>
          <w:color w:val="212121"/>
          <w:sz w:val="18"/>
          <w:szCs w:val="18"/>
        </w:rPr>
      </w:pPr>
    </w:p>
    <w:p w14:paraId="776FA269" w14:textId="77777777" w:rsidR="00D3317E" w:rsidRPr="00D3317E" w:rsidRDefault="00D3317E" w:rsidP="00D3317E">
      <w:pPr>
        <w:spacing w:after="0" w:line="288" w:lineRule="atLeast"/>
        <w:jc w:val="center"/>
        <w:rPr>
          <w:rFonts w:ascii="Arial" w:eastAsia="Times New Roman" w:hAnsi="Arial" w:cs="Arial"/>
          <w:b/>
          <w:bCs/>
          <w:color w:val="212121"/>
          <w:sz w:val="18"/>
          <w:szCs w:val="18"/>
        </w:rPr>
      </w:pPr>
      <w:r w:rsidRPr="00D3317E">
        <w:rPr>
          <w:rFonts w:ascii="Arial" w:eastAsia="Times New Roman" w:hAnsi="Arial" w:cs="Arial"/>
          <w:b/>
          <w:bCs/>
          <w:color w:val="212121"/>
          <w:sz w:val="18"/>
          <w:szCs w:val="18"/>
        </w:rPr>
        <w:t>HISTORY</w:t>
      </w:r>
    </w:p>
    <w:p w14:paraId="10B68D95" w14:textId="77777777" w:rsidR="00D3317E" w:rsidRPr="00D3317E" w:rsidRDefault="00D3317E" w:rsidP="00D3317E">
      <w:pPr>
        <w:spacing w:after="0" w:line="288" w:lineRule="atLeast"/>
        <w:rPr>
          <w:rFonts w:ascii="Arial" w:eastAsia="Times New Roman" w:hAnsi="Arial" w:cs="Arial"/>
          <w:color w:val="212121"/>
          <w:sz w:val="18"/>
          <w:szCs w:val="18"/>
        </w:rPr>
      </w:pPr>
      <w:r w:rsidRPr="00D3317E">
        <w:rPr>
          <w:rFonts w:ascii="Arial" w:eastAsia="Times New Roman" w:hAnsi="Arial" w:cs="Arial"/>
          <w:color w:val="212121"/>
          <w:sz w:val="18"/>
          <w:szCs w:val="18"/>
        </w:rPr>
        <w:t>1. New section filed 4-15-87, operative 5-15-87 (Register 87, No. 16).</w:t>
      </w:r>
    </w:p>
    <w:p w14:paraId="46625549" w14:textId="77777777" w:rsidR="00D3317E" w:rsidRPr="00D3317E" w:rsidRDefault="00D3317E" w:rsidP="00D3317E">
      <w:pPr>
        <w:spacing w:after="0" w:line="288" w:lineRule="atLeast"/>
        <w:rPr>
          <w:rFonts w:ascii="Arial" w:eastAsia="Times New Roman" w:hAnsi="Arial" w:cs="Arial"/>
          <w:color w:val="212121"/>
          <w:sz w:val="18"/>
          <w:szCs w:val="18"/>
        </w:rPr>
      </w:pPr>
      <w:r w:rsidRPr="00D3317E">
        <w:rPr>
          <w:rFonts w:ascii="Arial" w:eastAsia="Times New Roman" w:hAnsi="Arial" w:cs="Arial"/>
          <w:color w:val="212121"/>
          <w:sz w:val="18"/>
          <w:szCs w:val="18"/>
        </w:rPr>
        <w:t>2. Amendment of section heading, section and Note filed 5-7-99; operative 6-6-99 (Register 99, No. 19).</w:t>
      </w:r>
    </w:p>
    <w:p w14:paraId="456EA849" w14:textId="77777777" w:rsidR="00D3317E" w:rsidRPr="00D3317E" w:rsidRDefault="00D3317E" w:rsidP="00D3317E">
      <w:pPr>
        <w:spacing w:after="0" w:line="288" w:lineRule="atLeast"/>
        <w:rPr>
          <w:rFonts w:ascii="Arial" w:eastAsia="Times New Roman" w:hAnsi="Arial" w:cs="Arial"/>
          <w:color w:val="212121"/>
          <w:sz w:val="18"/>
          <w:szCs w:val="18"/>
        </w:rPr>
      </w:pPr>
      <w:r w:rsidRPr="00D3317E">
        <w:rPr>
          <w:rFonts w:ascii="Arial" w:eastAsia="Times New Roman" w:hAnsi="Arial" w:cs="Arial"/>
          <w:color w:val="212121"/>
          <w:sz w:val="18"/>
          <w:szCs w:val="18"/>
        </w:rPr>
        <w:t>This database is current through 3/20/20 Register 2020, No. 12</w:t>
      </w:r>
    </w:p>
    <w:p w14:paraId="413ADF65" w14:textId="77777777" w:rsidR="00D3317E" w:rsidRPr="00D3317E" w:rsidRDefault="00D3317E" w:rsidP="00D3317E">
      <w:pPr>
        <w:spacing w:after="0" w:line="288" w:lineRule="atLeast"/>
        <w:rPr>
          <w:rFonts w:ascii="Arial" w:eastAsia="Times New Roman" w:hAnsi="Arial" w:cs="Arial"/>
          <w:color w:val="212121"/>
          <w:sz w:val="18"/>
          <w:szCs w:val="18"/>
        </w:rPr>
      </w:pPr>
      <w:r w:rsidRPr="00D3317E">
        <w:rPr>
          <w:rFonts w:ascii="Arial" w:eastAsia="Times New Roman" w:hAnsi="Arial" w:cs="Arial"/>
          <w:color w:val="212121"/>
          <w:sz w:val="18"/>
          <w:szCs w:val="18"/>
        </w:rPr>
        <w:t>22 CCR § 77135, 22 CA ADC § 77135</w:t>
      </w:r>
    </w:p>
    <w:tbl>
      <w:tblPr>
        <w:tblW w:w="17610" w:type="dxa"/>
        <w:tblBorders>
          <w:top w:val="single" w:sz="18" w:space="0" w:color="ECECEC"/>
          <w:left w:val="single" w:sz="2" w:space="0" w:color="ECECEC"/>
          <w:bottom w:val="single" w:sz="2" w:space="0" w:color="ECECEC"/>
          <w:right w:val="single" w:sz="2" w:space="0" w:color="ECECEC"/>
        </w:tblBorders>
        <w:tblCellMar>
          <w:top w:w="15" w:type="dxa"/>
          <w:left w:w="15" w:type="dxa"/>
          <w:bottom w:w="15" w:type="dxa"/>
          <w:right w:w="15" w:type="dxa"/>
        </w:tblCellMar>
        <w:tblLook w:val="04A0" w:firstRow="1" w:lastRow="0" w:firstColumn="1" w:lastColumn="0" w:noHBand="0" w:noVBand="1"/>
      </w:tblPr>
      <w:tblGrid>
        <w:gridCol w:w="3486"/>
        <w:gridCol w:w="14124"/>
      </w:tblGrid>
      <w:tr w:rsidR="00D3317E" w:rsidRPr="00D3317E" w14:paraId="005DBAAF" w14:textId="77777777" w:rsidTr="00D3317E">
        <w:tc>
          <w:tcPr>
            <w:tcW w:w="3462" w:type="dxa"/>
            <w:tcBorders>
              <w:top w:val="nil"/>
              <w:left w:val="nil"/>
              <w:bottom w:val="nil"/>
              <w:right w:val="nil"/>
            </w:tcBorders>
            <w:tcMar>
              <w:top w:w="150" w:type="dxa"/>
              <w:left w:w="36" w:type="dxa"/>
              <w:bottom w:w="0" w:type="dxa"/>
              <w:right w:w="36" w:type="dxa"/>
            </w:tcMar>
            <w:hideMark/>
          </w:tcPr>
          <w:p w14:paraId="0A990E98" w14:textId="77777777" w:rsidR="00D3317E" w:rsidRPr="00D3317E" w:rsidRDefault="00D3317E" w:rsidP="00D3317E">
            <w:pPr>
              <w:spacing w:after="0" w:line="240" w:lineRule="auto"/>
              <w:rPr>
                <w:rFonts w:ascii="Times New Roman" w:eastAsia="Times New Roman" w:hAnsi="Times New Roman" w:cs="Times New Roman"/>
                <w:b/>
                <w:bCs/>
                <w:caps/>
                <w:color w:val="565656"/>
                <w:sz w:val="16"/>
                <w:szCs w:val="16"/>
              </w:rPr>
            </w:pPr>
            <w:r w:rsidRPr="00D3317E">
              <w:rPr>
                <w:rFonts w:ascii="Times New Roman" w:eastAsia="Times New Roman" w:hAnsi="Times New Roman" w:cs="Times New Roman"/>
                <w:b/>
                <w:bCs/>
                <w:caps/>
                <w:color w:val="565656"/>
                <w:sz w:val="16"/>
                <w:szCs w:val="16"/>
              </w:rPr>
              <w:t>END OF DOCUMENT</w:t>
            </w:r>
          </w:p>
        </w:tc>
        <w:tc>
          <w:tcPr>
            <w:tcW w:w="14027" w:type="dxa"/>
            <w:tcBorders>
              <w:top w:val="nil"/>
              <w:left w:val="nil"/>
              <w:bottom w:val="nil"/>
              <w:right w:val="nil"/>
            </w:tcBorders>
            <w:tcMar>
              <w:top w:w="150" w:type="dxa"/>
              <w:left w:w="36" w:type="dxa"/>
              <w:bottom w:w="0" w:type="dxa"/>
              <w:right w:w="36" w:type="dxa"/>
            </w:tcMar>
            <w:hideMark/>
          </w:tcPr>
          <w:p w14:paraId="2CD19C16" w14:textId="77777777" w:rsidR="00D3317E" w:rsidRPr="00D3317E" w:rsidRDefault="00D3317E" w:rsidP="00D3317E">
            <w:pPr>
              <w:spacing w:after="0" w:line="240" w:lineRule="auto"/>
              <w:jc w:val="right"/>
              <w:rPr>
                <w:rFonts w:ascii="Times New Roman" w:eastAsia="Times New Roman" w:hAnsi="Times New Roman" w:cs="Times New Roman"/>
                <w:color w:val="565656"/>
                <w:sz w:val="14"/>
                <w:szCs w:val="14"/>
              </w:rPr>
            </w:pPr>
            <w:r w:rsidRPr="00D3317E">
              <w:rPr>
                <w:rFonts w:ascii="Times New Roman" w:eastAsia="Times New Roman" w:hAnsi="Times New Roman" w:cs="Times New Roman"/>
                <w:color w:val="565656"/>
                <w:sz w:val="14"/>
                <w:szCs w:val="14"/>
              </w:rPr>
              <w:t>© 2020 Thomson Reuters. No claim to original U.S. Government Works.</w:t>
            </w:r>
          </w:p>
        </w:tc>
      </w:tr>
    </w:tbl>
    <w:p w14:paraId="26CF7204" w14:textId="731B3CC9" w:rsidR="00D3317E" w:rsidRDefault="00D3317E"/>
    <w:sectPr w:rsidR="00D33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17E"/>
    <w:rsid w:val="002B3A11"/>
    <w:rsid w:val="004B4143"/>
    <w:rsid w:val="004C6308"/>
    <w:rsid w:val="006A35EF"/>
    <w:rsid w:val="00CD1899"/>
    <w:rsid w:val="00D209AA"/>
    <w:rsid w:val="00D33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32298"/>
  <w15:chartTrackingRefBased/>
  <w15:docId w15:val="{AEFCA1B3-D0FF-4029-8DBB-F0E22D8B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331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331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317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3317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3317E"/>
    <w:rPr>
      <w:color w:val="0000FF"/>
      <w:u w:val="single"/>
    </w:rPr>
  </w:style>
  <w:style w:type="character" w:styleId="Strong">
    <w:name w:val="Strong"/>
    <w:basedOn w:val="DefaultParagraphFont"/>
    <w:uiPriority w:val="22"/>
    <w:qFormat/>
    <w:rsid w:val="00D331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849873">
      <w:bodyDiv w:val="1"/>
      <w:marLeft w:val="0"/>
      <w:marRight w:val="0"/>
      <w:marTop w:val="0"/>
      <w:marBottom w:val="0"/>
      <w:divBdr>
        <w:top w:val="none" w:sz="0" w:space="0" w:color="auto"/>
        <w:left w:val="none" w:sz="0" w:space="0" w:color="auto"/>
        <w:bottom w:val="none" w:sz="0" w:space="0" w:color="auto"/>
        <w:right w:val="none" w:sz="0" w:space="0" w:color="auto"/>
      </w:divBdr>
      <w:divsChild>
        <w:div w:id="1925797466">
          <w:marLeft w:val="0"/>
          <w:marRight w:val="0"/>
          <w:marTop w:val="0"/>
          <w:marBottom w:val="0"/>
          <w:divBdr>
            <w:top w:val="none" w:sz="0" w:space="0" w:color="auto"/>
            <w:left w:val="none" w:sz="0" w:space="0" w:color="auto"/>
            <w:bottom w:val="none" w:sz="0" w:space="0" w:color="auto"/>
            <w:right w:val="none" w:sz="0" w:space="0" w:color="auto"/>
          </w:divBdr>
          <w:divsChild>
            <w:div w:id="563489388">
              <w:marLeft w:val="0"/>
              <w:marRight w:val="0"/>
              <w:marTop w:val="0"/>
              <w:marBottom w:val="240"/>
              <w:divBdr>
                <w:top w:val="single" w:sz="6" w:space="0" w:color="D6D6D6"/>
                <w:left w:val="single" w:sz="6" w:space="6" w:color="D6D6D6"/>
                <w:bottom w:val="single" w:sz="6" w:space="0" w:color="D6D6D6"/>
                <w:right w:val="single" w:sz="6" w:space="6" w:color="D6D6D6"/>
              </w:divBdr>
              <w:divsChild>
                <w:div w:id="190724838">
                  <w:marLeft w:val="0"/>
                  <w:marRight w:val="0"/>
                  <w:marTop w:val="0"/>
                  <w:marBottom w:val="0"/>
                  <w:divBdr>
                    <w:top w:val="none" w:sz="0" w:space="0" w:color="auto"/>
                    <w:left w:val="none" w:sz="0" w:space="0" w:color="auto"/>
                    <w:bottom w:val="none" w:sz="0" w:space="0" w:color="auto"/>
                    <w:right w:val="none" w:sz="0" w:space="0" w:color="auto"/>
                  </w:divBdr>
                  <w:divsChild>
                    <w:div w:id="1883518113">
                      <w:marLeft w:val="0"/>
                      <w:marRight w:val="0"/>
                      <w:marTop w:val="0"/>
                      <w:marBottom w:val="0"/>
                      <w:divBdr>
                        <w:top w:val="none" w:sz="0" w:space="0" w:color="auto"/>
                        <w:left w:val="none" w:sz="0" w:space="0" w:color="auto"/>
                        <w:bottom w:val="none" w:sz="0" w:space="0" w:color="auto"/>
                        <w:right w:val="none" w:sz="0" w:space="0" w:color="auto"/>
                      </w:divBdr>
                      <w:divsChild>
                        <w:div w:id="581987151">
                          <w:marLeft w:val="0"/>
                          <w:marRight w:val="0"/>
                          <w:marTop w:val="240"/>
                          <w:marBottom w:val="0"/>
                          <w:divBdr>
                            <w:top w:val="none" w:sz="0" w:space="0" w:color="auto"/>
                            <w:left w:val="none" w:sz="0" w:space="0" w:color="auto"/>
                            <w:bottom w:val="none" w:sz="0" w:space="0" w:color="auto"/>
                            <w:right w:val="none" w:sz="0" w:space="0" w:color="auto"/>
                          </w:divBdr>
                          <w:divsChild>
                            <w:div w:id="674915296">
                              <w:marLeft w:val="0"/>
                              <w:marRight w:val="0"/>
                              <w:marTop w:val="0"/>
                              <w:marBottom w:val="0"/>
                              <w:divBdr>
                                <w:top w:val="none" w:sz="0" w:space="0" w:color="auto"/>
                                <w:left w:val="none" w:sz="0" w:space="0" w:color="auto"/>
                                <w:bottom w:val="none" w:sz="0" w:space="0" w:color="auto"/>
                                <w:right w:val="none" w:sz="0" w:space="0" w:color="auto"/>
                              </w:divBdr>
                              <w:divsChild>
                                <w:div w:id="274213285">
                                  <w:marLeft w:val="240"/>
                                  <w:marRight w:val="0"/>
                                  <w:marTop w:val="0"/>
                                  <w:marBottom w:val="0"/>
                                  <w:divBdr>
                                    <w:top w:val="none" w:sz="0" w:space="0" w:color="auto"/>
                                    <w:left w:val="none" w:sz="0" w:space="0" w:color="auto"/>
                                    <w:bottom w:val="none" w:sz="0" w:space="0" w:color="auto"/>
                                    <w:right w:val="none" w:sz="0" w:space="0" w:color="auto"/>
                                  </w:divBdr>
                                  <w:divsChild>
                                    <w:div w:id="139738624">
                                      <w:marLeft w:val="240"/>
                                      <w:marRight w:val="0"/>
                                      <w:marTop w:val="0"/>
                                      <w:marBottom w:val="0"/>
                                      <w:divBdr>
                                        <w:top w:val="none" w:sz="0" w:space="0" w:color="auto"/>
                                        <w:left w:val="none" w:sz="0" w:space="0" w:color="auto"/>
                                        <w:bottom w:val="none" w:sz="0" w:space="0" w:color="auto"/>
                                        <w:right w:val="none" w:sz="0" w:space="0" w:color="auto"/>
                                      </w:divBdr>
                                      <w:divsChild>
                                        <w:div w:id="1049765587">
                                          <w:marLeft w:val="240"/>
                                          <w:marRight w:val="0"/>
                                          <w:marTop w:val="0"/>
                                          <w:marBottom w:val="0"/>
                                          <w:divBdr>
                                            <w:top w:val="none" w:sz="0" w:space="0" w:color="auto"/>
                                            <w:left w:val="none" w:sz="0" w:space="0" w:color="auto"/>
                                            <w:bottom w:val="none" w:sz="0" w:space="0" w:color="auto"/>
                                            <w:right w:val="none" w:sz="0" w:space="0" w:color="auto"/>
                                          </w:divBdr>
                                          <w:divsChild>
                                            <w:div w:id="1398553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6003052">
              <w:marLeft w:val="0"/>
              <w:marRight w:val="0"/>
              <w:marTop w:val="240"/>
              <w:marBottom w:val="240"/>
              <w:divBdr>
                <w:top w:val="none" w:sz="0" w:space="0" w:color="auto"/>
                <w:left w:val="none" w:sz="0" w:space="0" w:color="auto"/>
                <w:bottom w:val="none" w:sz="0" w:space="0" w:color="auto"/>
                <w:right w:val="none" w:sz="0" w:space="0" w:color="auto"/>
              </w:divBdr>
            </w:div>
          </w:divsChild>
        </w:div>
        <w:div w:id="1985307537">
          <w:marLeft w:val="0"/>
          <w:marRight w:val="0"/>
          <w:marTop w:val="240"/>
          <w:marBottom w:val="0"/>
          <w:divBdr>
            <w:top w:val="none" w:sz="0" w:space="0" w:color="auto"/>
            <w:left w:val="none" w:sz="0" w:space="0" w:color="auto"/>
            <w:bottom w:val="none" w:sz="0" w:space="0" w:color="auto"/>
            <w:right w:val="none" w:sz="0" w:space="0" w:color="auto"/>
          </w:divBdr>
          <w:divsChild>
            <w:div w:id="753353852">
              <w:marLeft w:val="0"/>
              <w:marRight w:val="0"/>
              <w:marTop w:val="0"/>
              <w:marBottom w:val="0"/>
              <w:divBdr>
                <w:top w:val="none" w:sz="0" w:space="0" w:color="auto"/>
                <w:left w:val="none" w:sz="0" w:space="0" w:color="auto"/>
                <w:bottom w:val="none" w:sz="0" w:space="0" w:color="auto"/>
                <w:right w:val="none" w:sz="0" w:space="0" w:color="auto"/>
              </w:divBdr>
              <w:divsChild>
                <w:div w:id="339236834">
                  <w:marLeft w:val="0"/>
                  <w:marRight w:val="0"/>
                  <w:marTop w:val="240"/>
                  <w:marBottom w:val="0"/>
                  <w:divBdr>
                    <w:top w:val="none" w:sz="0" w:space="0" w:color="auto"/>
                    <w:left w:val="none" w:sz="0" w:space="0" w:color="auto"/>
                    <w:bottom w:val="none" w:sz="0" w:space="0" w:color="auto"/>
                    <w:right w:val="none" w:sz="0" w:space="0" w:color="auto"/>
                  </w:divBdr>
                  <w:divsChild>
                    <w:div w:id="731389161">
                      <w:marLeft w:val="0"/>
                      <w:marRight w:val="0"/>
                      <w:marTop w:val="0"/>
                      <w:marBottom w:val="0"/>
                      <w:divBdr>
                        <w:top w:val="none" w:sz="0" w:space="0" w:color="auto"/>
                        <w:left w:val="none" w:sz="0" w:space="0" w:color="auto"/>
                        <w:bottom w:val="none" w:sz="0" w:space="0" w:color="auto"/>
                        <w:right w:val="none" w:sz="0" w:space="0" w:color="auto"/>
                      </w:divBdr>
                      <w:divsChild>
                        <w:div w:id="1477334837">
                          <w:marLeft w:val="0"/>
                          <w:marRight w:val="0"/>
                          <w:marTop w:val="0"/>
                          <w:marBottom w:val="0"/>
                          <w:divBdr>
                            <w:top w:val="none" w:sz="0" w:space="0" w:color="auto"/>
                            <w:left w:val="none" w:sz="0" w:space="0" w:color="auto"/>
                            <w:bottom w:val="none" w:sz="0" w:space="0" w:color="auto"/>
                            <w:right w:val="none" w:sz="0" w:space="0" w:color="auto"/>
                          </w:divBdr>
                        </w:div>
                      </w:divsChild>
                    </w:div>
                    <w:div w:id="1854226598">
                      <w:marLeft w:val="0"/>
                      <w:marRight w:val="0"/>
                      <w:marTop w:val="240"/>
                      <w:marBottom w:val="0"/>
                      <w:divBdr>
                        <w:top w:val="none" w:sz="0" w:space="0" w:color="auto"/>
                        <w:left w:val="none" w:sz="0" w:space="0" w:color="auto"/>
                        <w:bottom w:val="none" w:sz="0" w:space="0" w:color="auto"/>
                        <w:right w:val="none" w:sz="0" w:space="0" w:color="auto"/>
                      </w:divBdr>
                      <w:divsChild>
                        <w:div w:id="1084182887">
                          <w:marLeft w:val="0"/>
                          <w:marRight w:val="0"/>
                          <w:marTop w:val="0"/>
                          <w:marBottom w:val="0"/>
                          <w:divBdr>
                            <w:top w:val="none" w:sz="0" w:space="0" w:color="auto"/>
                            <w:left w:val="none" w:sz="0" w:space="0" w:color="auto"/>
                            <w:bottom w:val="none" w:sz="0" w:space="0" w:color="auto"/>
                            <w:right w:val="none" w:sz="0" w:space="0" w:color="auto"/>
                          </w:divBdr>
                          <w:divsChild>
                            <w:div w:id="4968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04670">
                      <w:marLeft w:val="0"/>
                      <w:marRight w:val="0"/>
                      <w:marTop w:val="240"/>
                      <w:marBottom w:val="0"/>
                      <w:divBdr>
                        <w:top w:val="none" w:sz="0" w:space="0" w:color="auto"/>
                        <w:left w:val="none" w:sz="0" w:space="0" w:color="auto"/>
                        <w:bottom w:val="none" w:sz="0" w:space="0" w:color="auto"/>
                        <w:right w:val="none" w:sz="0" w:space="0" w:color="auto"/>
                      </w:divBdr>
                      <w:divsChild>
                        <w:div w:id="1844976037">
                          <w:marLeft w:val="0"/>
                          <w:marRight w:val="0"/>
                          <w:marTop w:val="0"/>
                          <w:marBottom w:val="0"/>
                          <w:divBdr>
                            <w:top w:val="none" w:sz="0" w:space="0" w:color="auto"/>
                            <w:left w:val="none" w:sz="0" w:space="0" w:color="auto"/>
                            <w:bottom w:val="none" w:sz="0" w:space="0" w:color="auto"/>
                            <w:right w:val="none" w:sz="0" w:space="0" w:color="auto"/>
                          </w:divBdr>
                          <w:divsChild>
                            <w:div w:id="12731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33864">
                  <w:marLeft w:val="0"/>
                  <w:marRight w:val="0"/>
                  <w:marTop w:val="240"/>
                  <w:marBottom w:val="0"/>
                  <w:divBdr>
                    <w:top w:val="none" w:sz="0" w:space="0" w:color="auto"/>
                    <w:left w:val="none" w:sz="0" w:space="0" w:color="auto"/>
                    <w:bottom w:val="none" w:sz="0" w:space="0" w:color="auto"/>
                    <w:right w:val="none" w:sz="0" w:space="0" w:color="auto"/>
                  </w:divBdr>
                  <w:divsChild>
                    <w:div w:id="1268267294">
                      <w:marLeft w:val="0"/>
                      <w:marRight w:val="0"/>
                      <w:marTop w:val="0"/>
                      <w:marBottom w:val="0"/>
                      <w:divBdr>
                        <w:top w:val="none" w:sz="0" w:space="0" w:color="auto"/>
                        <w:left w:val="none" w:sz="0" w:space="0" w:color="auto"/>
                        <w:bottom w:val="none" w:sz="0" w:space="0" w:color="auto"/>
                        <w:right w:val="none" w:sz="0" w:space="0" w:color="auto"/>
                      </w:divBdr>
                      <w:divsChild>
                        <w:div w:id="277569131">
                          <w:marLeft w:val="0"/>
                          <w:marRight w:val="0"/>
                          <w:marTop w:val="0"/>
                          <w:marBottom w:val="0"/>
                          <w:divBdr>
                            <w:top w:val="none" w:sz="0" w:space="0" w:color="auto"/>
                            <w:left w:val="none" w:sz="0" w:space="0" w:color="auto"/>
                            <w:bottom w:val="none" w:sz="0" w:space="0" w:color="auto"/>
                            <w:right w:val="none" w:sz="0" w:space="0" w:color="auto"/>
                          </w:divBdr>
                        </w:div>
                      </w:divsChild>
                    </w:div>
                    <w:div w:id="1259798682">
                      <w:marLeft w:val="0"/>
                      <w:marRight w:val="0"/>
                      <w:marTop w:val="240"/>
                      <w:marBottom w:val="0"/>
                      <w:divBdr>
                        <w:top w:val="none" w:sz="0" w:space="0" w:color="auto"/>
                        <w:left w:val="none" w:sz="0" w:space="0" w:color="auto"/>
                        <w:bottom w:val="none" w:sz="0" w:space="0" w:color="auto"/>
                        <w:right w:val="none" w:sz="0" w:space="0" w:color="auto"/>
                      </w:divBdr>
                      <w:divsChild>
                        <w:div w:id="2035570079">
                          <w:marLeft w:val="0"/>
                          <w:marRight w:val="0"/>
                          <w:marTop w:val="0"/>
                          <w:marBottom w:val="0"/>
                          <w:divBdr>
                            <w:top w:val="none" w:sz="0" w:space="0" w:color="auto"/>
                            <w:left w:val="none" w:sz="0" w:space="0" w:color="auto"/>
                            <w:bottom w:val="none" w:sz="0" w:space="0" w:color="auto"/>
                            <w:right w:val="none" w:sz="0" w:space="0" w:color="auto"/>
                          </w:divBdr>
                          <w:divsChild>
                            <w:div w:id="10439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34000">
                      <w:marLeft w:val="0"/>
                      <w:marRight w:val="0"/>
                      <w:marTop w:val="240"/>
                      <w:marBottom w:val="0"/>
                      <w:divBdr>
                        <w:top w:val="none" w:sz="0" w:space="0" w:color="auto"/>
                        <w:left w:val="none" w:sz="0" w:space="0" w:color="auto"/>
                        <w:bottom w:val="none" w:sz="0" w:space="0" w:color="auto"/>
                        <w:right w:val="none" w:sz="0" w:space="0" w:color="auto"/>
                      </w:divBdr>
                      <w:divsChild>
                        <w:div w:id="92171045">
                          <w:marLeft w:val="0"/>
                          <w:marRight w:val="0"/>
                          <w:marTop w:val="0"/>
                          <w:marBottom w:val="0"/>
                          <w:divBdr>
                            <w:top w:val="none" w:sz="0" w:space="0" w:color="auto"/>
                            <w:left w:val="none" w:sz="0" w:space="0" w:color="auto"/>
                            <w:bottom w:val="none" w:sz="0" w:space="0" w:color="auto"/>
                            <w:right w:val="none" w:sz="0" w:space="0" w:color="auto"/>
                          </w:divBdr>
                          <w:divsChild>
                            <w:div w:id="7838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97662">
              <w:marLeft w:val="0"/>
              <w:marRight w:val="0"/>
              <w:marTop w:val="240"/>
              <w:marBottom w:val="0"/>
              <w:divBdr>
                <w:top w:val="none" w:sz="0" w:space="0" w:color="auto"/>
                <w:left w:val="none" w:sz="0" w:space="0" w:color="auto"/>
                <w:bottom w:val="none" w:sz="0" w:space="0" w:color="auto"/>
                <w:right w:val="none" w:sz="0" w:space="0" w:color="auto"/>
              </w:divBdr>
              <w:divsChild>
                <w:div w:id="1391344462">
                  <w:marLeft w:val="0"/>
                  <w:marRight w:val="0"/>
                  <w:marTop w:val="0"/>
                  <w:marBottom w:val="0"/>
                  <w:divBdr>
                    <w:top w:val="none" w:sz="0" w:space="0" w:color="auto"/>
                    <w:left w:val="none" w:sz="0" w:space="0" w:color="auto"/>
                    <w:bottom w:val="none" w:sz="0" w:space="0" w:color="auto"/>
                    <w:right w:val="none" w:sz="0" w:space="0" w:color="auto"/>
                  </w:divBdr>
                  <w:divsChild>
                    <w:div w:id="144003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34714">
              <w:marLeft w:val="0"/>
              <w:marRight w:val="0"/>
              <w:marTop w:val="240"/>
              <w:marBottom w:val="240"/>
              <w:divBdr>
                <w:top w:val="none" w:sz="0" w:space="0" w:color="auto"/>
                <w:left w:val="none" w:sz="0" w:space="0" w:color="auto"/>
                <w:bottom w:val="none" w:sz="0" w:space="0" w:color="auto"/>
                <w:right w:val="none" w:sz="0" w:space="0" w:color="auto"/>
              </w:divBdr>
            </w:div>
            <w:div w:id="1808282812">
              <w:marLeft w:val="0"/>
              <w:marRight w:val="0"/>
              <w:marTop w:val="0"/>
              <w:marBottom w:val="0"/>
              <w:divBdr>
                <w:top w:val="none" w:sz="0" w:space="0" w:color="auto"/>
                <w:left w:val="none" w:sz="0" w:space="0" w:color="auto"/>
                <w:bottom w:val="none" w:sz="0" w:space="0" w:color="auto"/>
                <w:right w:val="none" w:sz="0" w:space="0" w:color="auto"/>
              </w:divBdr>
              <w:divsChild>
                <w:div w:id="1314261536">
                  <w:marLeft w:val="0"/>
                  <w:marRight w:val="0"/>
                  <w:marTop w:val="0"/>
                  <w:marBottom w:val="0"/>
                  <w:divBdr>
                    <w:top w:val="none" w:sz="0" w:space="0" w:color="auto"/>
                    <w:left w:val="none" w:sz="0" w:space="0" w:color="auto"/>
                    <w:bottom w:val="none" w:sz="0" w:space="0" w:color="auto"/>
                    <w:right w:val="none" w:sz="0" w:space="0" w:color="auto"/>
                  </w:divBdr>
                </w:div>
              </w:divsChild>
            </w:div>
            <w:div w:id="1934387834">
              <w:marLeft w:val="0"/>
              <w:marRight w:val="0"/>
              <w:marTop w:val="240"/>
              <w:marBottom w:val="0"/>
              <w:divBdr>
                <w:top w:val="none" w:sz="0" w:space="0" w:color="auto"/>
                <w:left w:val="none" w:sz="0" w:space="0" w:color="auto"/>
                <w:bottom w:val="none" w:sz="0" w:space="0" w:color="auto"/>
                <w:right w:val="none" w:sz="0" w:space="0" w:color="auto"/>
              </w:divBdr>
              <w:divsChild>
                <w:div w:id="858860093">
                  <w:marLeft w:val="0"/>
                  <w:marRight w:val="0"/>
                  <w:marTop w:val="0"/>
                  <w:marBottom w:val="0"/>
                  <w:divBdr>
                    <w:top w:val="none" w:sz="0" w:space="0" w:color="auto"/>
                    <w:left w:val="none" w:sz="0" w:space="0" w:color="auto"/>
                    <w:bottom w:val="none" w:sz="0" w:space="0" w:color="auto"/>
                    <w:right w:val="none" w:sz="0" w:space="0" w:color="auto"/>
                  </w:divBdr>
                </w:div>
              </w:divsChild>
            </w:div>
            <w:div w:id="4865108">
              <w:marLeft w:val="0"/>
              <w:marRight w:val="0"/>
              <w:marTop w:val="240"/>
              <w:marBottom w:val="0"/>
              <w:divBdr>
                <w:top w:val="none" w:sz="0" w:space="0" w:color="auto"/>
                <w:left w:val="none" w:sz="0" w:space="0" w:color="auto"/>
                <w:bottom w:val="none" w:sz="0" w:space="0" w:color="auto"/>
                <w:right w:val="none" w:sz="0" w:space="0" w:color="auto"/>
              </w:divBdr>
            </w:div>
          </w:divsChild>
        </w:div>
        <w:div w:id="155052991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371</Words>
  <Characters>2115</Characters>
  <Application>Microsoft Office Word</Application>
  <DocSecurity>0</DocSecurity>
  <Lines>17</Lines>
  <Paragraphs>4</Paragraphs>
  <ScaleCrop>false</ScaleCrop>
  <Company>Hewlett-Packard Company</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Stayce Curry</dc:creator>
  <cp:keywords/>
  <dc:description/>
  <cp:lastModifiedBy>Stayce Curry</cp:lastModifiedBy>
  <cp:revision>7</cp:revision>
  <cp:lastPrinted>2020-04-07T15:28:00Z</cp:lastPrinted>
  <dcterms:created xsi:type="dcterms:W3CDTF">2020-04-07T15:23:00Z</dcterms:created>
  <dcterms:modified xsi:type="dcterms:W3CDTF">2020-04-07T15:45:00Z</dcterms:modified>
</cp:coreProperties>
</file>